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a="http://schemas.openxmlformats.org/draw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pPr>
    </w:p>
    <w:p>
      <w:pPr>
        <w:pStyle w:val="12"/>
        <w:jc w:val="left"/>
      </w:pPr>
    </w:p>
    <w:p>
      <w:pPr>
        <w:jc w:val="center"/>
      </w:pPr>
      <w:r>
        <w:rPr>
          <w:b/>
          <w:bCs/>
        </w:rPr>
        <w:t>电工手册隐私政策</w:t>
      </w:r>
    </w:p>
    <w:p>
      <w:pPr>
        <w:jc w:val="left"/>
      </w:pPr>
      <w:r>
        <w:rPr/>
        <w:t>更新日期：2024年3月1日</w:t>
      </w:r>
    </w:p>
    <w:p>
      <w:pPr>
        <w:jc w:val="left"/>
      </w:pPr>
      <w:r>
        <w:rPr/>
        <w:t>生效日期：2024年3月1日</w:t>
      </w:r>
    </w:p>
    <w:p>
      <w:pPr>
        <w:jc w:val="left"/>
      </w:pPr>
      <w:r>
        <w:rPr/>
        <w:t>电工手册由河北睿凡信息科技有限公司开发并运营维护，我们深知个人信息对您的重要性，将按照法律法规的规定，保护您的个人信息及隐私安全。希望您使用我们的服务前仔细阅读并理解本隐私政策，以便做出适当的选择。</w:t>
      </w:r>
    </w:p>
    <w:p>
      <w:pPr>
        <w:jc w:val="left"/>
      </w:pPr>
    </w:p>
    <w:p>
      <w:pPr>
        <w:jc w:val="left"/>
      </w:pPr>
      <w:r>
        <w:rPr>
          <w:b/>
          <w:bCs/>
        </w:rPr>
        <w:t>1</w:t>
      </w:r>
      <w:r>
        <w:rPr>
          <w:b/>
          <w:bCs/>
        </w:rPr>
        <w:t>．“电工手册”提供的服务及使用方式</w:t>
      </w:r>
    </w:p>
    <w:p>
      <w:pPr>
        <w:jc w:val="left"/>
      </w:pPr>
      <w:r>
        <w:rPr/>
        <w:t>1.1提供的服务</w:t>
      </w:r>
    </w:p>
    <w:p>
      <w:pPr>
        <w:jc w:val="left"/>
      </w:pPr>
    </w:p>
    <w:p>
      <w:pPr>
        <w:jc w:val="left"/>
      </w:pPr>
      <w:r>
        <w:rPr/>
        <w:t>“电工手册”软件免费提供在电工学实践过程中部分技术参数的计算和查询功能；</w:t>
      </w:r>
    </w:p>
    <w:p>
      <w:pPr>
        <w:jc w:val="left"/>
      </w:pPr>
    </w:p>
    <w:p>
      <w:pPr>
        <w:jc w:val="left"/>
      </w:pPr>
      <w:r>
        <w:rPr/>
        <w:t>1.2使用方式</w:t>
      </w:r>
    </w:p>
    <w:p>
      <w:pPr>
        <w:jc w:val="left"/>
      </w:pPr>
      <w:r>
        <w:rPr/>
        <w:t>软件启动后即可选择对应的功能板块进行计算或查询操作，无需注册或缴费等操作；</w:t>
      </w:r>
    </w:p>
    <w:p>
      <w:pPr>
        <w:jc w:val="left"/>
      </w:pPr>
    </w:p>
    <w:p>
      <w:pPr>
        <w:jc w:val="left"/>
      </w:pPr>
      <w:r>
        <w:rPr/>
        <w:t>1.3关于账号</w:t>
      </w:r>
    </w:p>
    <w:p>
      <w:pPr>
        <w:jc w:val="left"/>
      </w:pPr>
      <w:r>
        <w:rPr/>
        <w:t>软件使用过程中不需要进行账号注册，即不需要用户输入任何信息即可使用；</w:t>
      </w:r>
    </w:p>
    <w:p>
      <w:pPr>
        <w:jc w:val="left"/>
      </w:pPr>
    </w:p>
    <w:p>
      <w:pPr>
        <w:jc w:val="left"/>
      </w:pPr>
      <w:r>
        <w:rPr/>
        <w:t>1.4用户个人信息</w:t>
      </w:r>
    </w:p>
    <w:p>
      <w:pPr>
        <w:jc w:val="left"/>
      </w:pPr>
      <w:r>
        <w:rPr/>
        <w:t>为了产品发展需要，我们也可能使用第三方SDK，这些第三方可能需要申请或使用系统权限，如位置信息、设备信息等（但不包括您的姓名、电话号码），这些权限不能监听您的手机号码、通话记录、联系人等隐私信息；</w:t>
      </w:r>
    </w:p>
    <w:p>
      <w:pPr>
        <w:jc w:val="left"/>
      </w:pPr>
    </w:p>
    <w:p>
      <w:pPr>
        <w:jc w:val="left"/>
      </w:pPr>
      <w:r>
        <w:rPr>
          <w:b/>
          <w:bCs/>
        </w:rPr>
        <w:t>收集个人信息如下：</w:t>
      </w:r>
    </w:p>
    <w:tbl>
      <w:tblPr>
        <w:tblStyle w:val="9"/>
        <w:tblW w:w="11100" w:type="dxa"/>
        <w:tblLayout w:type="fixed"/>
      </w:tblPr>
      <w:tblGrid>
        <w:gridCol w:w="3700"/>
        <w:gridCol w:w="3700"/>
        <w:gridCol w:w="3700"/>
      </w:tblGrid>
      <w:tr>
        <w:tblPrEx/>
        <w:trPr>
          <w:trHeight w:val="503"/>
        </w:trPr>
        <w:tc>
          <w:tcPr>
            <w:tcW w:w="3700" w:type="dxa"/>
            <w:vAlign w:val="top"/>
          </w:tcPr>
          <w:p>
            <w:pPr>
              <w:jc w:val="left"/>
            </w:pPr>
            <w:r>
              <w:rPr>
                <w:b/>
                <w:bCs/>
              </w:rPr>
              <w:t>个人信息名称</w:t>
            </w:r>
          </w:p>
        </w:tc>
        <w:tc>
          <w:tcPr>
            <w:tcW w:w="3700" w:type="dxa"/>
            <w:vAlign w:val="top"/>
          </w:tcPr>
          <w:p>
            <w:pPr>
              <w:jc w:val="left"/>
            </w:pPr>
            <w:r>
              <w:rPr>
                <w:b/>
                <w:bCs/>
              </w:rPr>
              <w:t>使用目的</w:t>
            </w:r>
          </w:p>
        </w:tc>
        <w:tc>
          <w:tcPr>
            <w:tcW w:w="3700" w:type="dxa"/>
            <w:vAlign w:val="top"/>
          </w:tcPr>
          <w:p>
            <w:pPr>
              <w:jc w:val="left"/>
            </w:pPr>
            <w:r>
              <w:rPr>
                <w:b/>
                <w:bCs/>
              </w:rPr>
              <w:t>备注</w:t>
            </w:r>
          </w:p>
        </w:tc>
      </w:tr>
      <w:tr>
        <w:tblPrEx/>
        <w:trPr>
          <w:trHeight w:val="503"/>
        </w:trPr>
        <w:tc>
          <w:tcPr>
            <w:tcW w:w="3700" w:type="dxa"/>
            <w:vAlign w:val="top"/>
          </w:tcPr>
          <w:p>
            <w:pPr>
              <w:jc w:val="left"/>
            </w:pPr>
            <w:r>
              <w:rPr/>
              <w:t>粗略、精确位置信息，基站、附近的WIFI、连接的WIFI</w:t>
            </w:r>
          </w:p>
        </w:tc>
        <w:tc>
          <w:tcPr>
            <w:tcW w:w="3700" w:type="dxa"/>
            <w:vAlign w:val="top"/>
          </w:tcPr>
          <w:p>
            <w:pPr>
              <w:jc w:val="left"/>
            </w:pPr>
            <w:r>
              <w:rPr/>
              <w:t>广告投放</w:t>
            </w:r>
          </w:p>
        </w:tc>
        <w:tc>
          <w:tcPr>
            <w:tcW w:w="3700" w:type="dxa"/>
            <w:vAlign w:val="top"/>
          </w:tcPr>
          <w:p>
            <w:pPr>
              <w:jc w:val="left"/>
            </w:pPr>
            <w:r>
              <w:rPr/>
              <w:t>用户可选择是否提供</w:t>
            </w:r>
          </w:p>
        </w:tc>
      </w:tr>
      <w:tr>
        <w:tblPrEx/>
        <w:trPr>
          <w:trHeight w:val="503"/>
        </w:trPr>
        <w:tc>
          <w:tcPr>
            <w:tcW w:w="3700" w:type="dxa"/>
            <w:vAlign w:val="top"/>
          </w:tcPr>
          <w:p>
            <w:pPr>
              <w:jc w:val="left"/>
            </w:pPr>
            <w:r>
              <w:rPr/>
              <w:t>设备/网络/系统信息，设备制造商、品牌、设备型号、操作系统版本、屏幕分辨率、屏幕方向、屏幕DPI、IP地址、时区、网络类型、运营商</w:t>
            </w:r>
          </w:p>
        </w:tc>
        <w:tc>
          <w:tcPr>
            <w:tcW w:w="3700" w:type="dxa"/>
            <w:vAlign w:val="top"/>
          </w:tcPr>
          <w:p>
            <w:pPr>
              <w:jc w:val="left"/>
            </w:pPr>
            <w:r>
              <w:rPr/>
              <w:t>广告投放、反作弊，统计分析以便开发者了解用户如何使用应用程序</w:t>
            </w:r>
          </w:p>
        </w:tc>
        <w:tc>
          <w:tcPr>
            <w:tcW w:w="3700" w:type="dxa"/>
            <w:vAlign w:val="top"/>
          </w:tcPr>
          <w:p>
            <w:pPr>
              <w:jc w:val="left"/>
            </w:pPr>
            <w:r>
              <w:rPr/>
              <w:t>用户可选择是否提供</w:t>
            </w:r>
          </w:p>
        </w:tc>
      </w:tr>
      <w:tr>
        <w:tblPrEx/>
        <w:trPr>
          <w:trHeight w:val="503"/>
        </w:trPr>
        <w:tc>
          <w:tcPr>
            <w:tcW w:w="3700" w:type="dxa"/>
            <w:vAlign w:val="top"/>
          </w:tcPr>
          <w:p>
            <w:pPr>
              <w:jc w:val="left"/>
            </w:pPr>
            <w:r>
              <w:rPr/>
              <w:t>标识符，OAID、IMEI、Android_ID</w:t>
            </w:r>
          </w:p>
        </w:tc>
        <w:tc>
          <w:tcPr>
            <w:tcW w:w="3700" w:type="dxa"/>
            <w:vAlign w:val="top"/>
          </w:tcPr>
          <w:p>
            <w:pPr>
              <w:jc w:val="left"/>
            </w:pPr>
            <w:r>
              <w:rPr/>
              <w:t>广告投放、广告归因、广告监测、反作弊</w:t>
            </w:r>
          </w:p>
        </w:tc>
        <w:tc>
          <w:tcPr>
            <w:tcW w:w="3700" w:type="dxa"/>
            <w:vAlign w:val="top"/>
          </w:tcPr>
          <w:p>
            <w:pPr>
              <w:jc w:val="left"/>
            </w:pPr>
            <w:r>
              <w:rPr/>
              <w:t>用户可选择是否提供</w:t>
            </w:r>
          </w:p>
        </w:tc>
      </w:tr>
      <w:tr>
        <w:tblPrEx/>
        <w:trPr>
          <w:trHeight w:val="503"/>
        </w:trPr>
        <w:tc>
          <w:tcPr>
            <w:tcW w:w="3700" w:type="dxa"/>
            <w:vAlign w:val="top"/>
          </w:tcPr>
          <w:p>
            <w:pPr>
              <w:jc w:val="left"/>
            </w:pPr>
            <w:r>
              <w:rPr/>
              <w:t>应用信息，宿主应用的进程名称、运行状态、可疑行为</w:t>
            </w:r>
          </w:p>
        </w:tc>
        <w:tc>
          <w:tcPr>
            <w:tcW w:w="3700" w:type="dxa"/>
            <w:vAlign w:val="top"/>
          </w:tcPr>
          <w:p>
            <w:pPr>
              <w:jc w:val="left"/>
            </w:pPr>
            <w:r>
              <w:rPr/>
              <w:t>广告投放、反作弊，以便开发者优化应用程序功能和体验</w:t>
            </w:r>
          </w:p>
        </w:tc>
        <w:tc>
          <w:tcPr>
            <w:tcW w:w="3700" w:type="dxa"/>
            <w:vAlign w:val="top"/>
          </w:tcPr>
          <w:p>
            <w:pPr>
              <w:jc w:val="left"/>
            </w:pPr>
            <w:r>
              <w:rPr/>
              <w:t>用户可选择是否提供</w:t>
            </w:r>
          </w:p>
        </w:tc>
      </w:tr>
      <w:tr>
        <w:tblPrEx/>
        <w:trPr>
          <w:trHeight w:val="503"/>
        </w:trPr>
        <w:tc>
          <w:tcPr>
            <w:tcW w:w="3700" w:type="dxa"/>
            <w:vAlign w:val="top"/>
          </w:tcPr>
          <w:p>
            <w:pPr>
              <w:jc w:val="left"/>
            </w:pPr>
            <w:r>
              <w:rPr/>
              <w:t>使用数据，如产品交互数据、广告数据</w:t>
            </w:r>
          </w:p>
        </w:tc>
        <w:tc>
          <w:tcPr>
            <w:tcW w:w="3700" w:type="dxa"/>
            <w:vAlign w:val="top"/>
          </w:tcPr>
          <w:p>
            <w:pPr>
              <w:jc w:val="left"/>
            </w:pPr>
            <w:r>
              <w:rPr/>
              <w:t>广告投放、广告归因</w:t>
            </w:r>
          </w:p>
        </w:tc>
        <w:tc>
          <w:tcPr>
            <w:tcW w:w="3700" w:type="dxa"/>
            <w:vAlign w:val="top"/>
          </w:tcPr>
          <w:p>
            <w:pPr>
              <w:jc w:val="left"/>
            </w:pPr>
            <w:r>
              <w:rPr/>
              <w:t>用户可选择是否提供</w:t>
            </w:r>
          </w:p>
        </w:tc>
      </w:tr>
      <w:tr>
        <w:tblPrEx/>
        <w:trPr>
          <w:trHeight w:val="503"/>
        </w:trPr>
        <w:tc>
          <w:tcPr>
            <w:tcW w:w="3700" w:type="dxa"/>
            <w:vAlign w:val="top"/>
          </w:tcPr>
          <w:p>
            <w:pPr>
              <w:jc w:val="left"/>
            </w:pPr>
            <w:r>
              <w:rPr/>
              <w:t>诊断数据，如崩溃数据、性能数据</w:t>
            </w:r>
          </w:p>
        </w:tc>
        <w:tc>
          <w:tcPr>
            <w:tcW w:w="3700" w:type="dxa"/>
            <w:vAlign w:val="top"/>
          </w:tcPr>
          <w:p>
            <w:pPr>
              <w:jc w:val="left"/>
            </w:pPr>
            <w:r>
              <w:rPr/>
              <w:t>最大程度减少App崩溃、确保服务器正常运行、提升可扩展性和性能</w:t>
            </w:r>
          </w:p>
        </w:tc>
        <w:tc>
          <w:tcPr>
            <w:tcW w:w="3700" w:type="dxa"/>
            <w:vAlign w:val="top"/>
          </w:tcPr>
          <w:p>
            <w:pPr>
              <w:jc w:val="left"/>
            </w:pPr>
            <w:r>
              <w:rPr/>
              <w:t>用户可选择是否提供</w:t>
            </w:r>
          </w:p>
        </w:tc>
      </w:tr>
    </w:tbl>
    <w:p>
      <w:pPr>
        <w:jc w:val="left"/>
      </w:pPr>
    </w:p>
    <w:p>
      <w:pPr>
        <w:jc w:val="left"/>
      </w:pPr>
      <w:r>
        <w:rPr/>
        <w:t>1.5如何存储用户的个人信息</w:t>
      </w:r>
    </w:p>
    <w:p>
      <w:pPr>
        <w:jc w:val="left"/>
      </w:pPr>
      <w:r>
        <w:rPr/>
        <w:t>1.5.1存储方式和期限</w:t>
      </w:r>
    </w:p>
    <w:p>
      <w:pPr>
        <w:jc w:val="left"/>
      </w:pPr>
    </w:p>
    <w:p>
      <w:pPr>
        <w:jc w:val="left"/>
      </w:pPr>
      <w:r>
        <w:rPr/>
        <w:t>我们会通过安全的方式存储终端用户的信息, 包括本地存储、数据库和服务器日志。</w:t>
      </w:r>
    </w:p>
    <w:p>
      <w:pPr>
        <w:jc w:val="left"/>
      </w:pPr>
    </w:p>
    <w:p>
      <w:pPr>
        <w:jc w:val="left"/>
      </w:pPr>
      <w:r>
        <w:rPr/>
        <w:t>一般情况下, 我们只会在为实现本规则所述目的所必需的最短时间内或法律法规规定或个人信息主体另行授权同意的条件/范围内保存终端用户的个人信息。</w:t>
      </w:r>
    </w:p>
    <w:p>
      <w:pPr>
        <w:jc w:val="left"/>
      </w:pPr>
    </w:p>
    <w:p>
      <w:pPr>
        <w:jc w:val="left"/>
      </w:pPr>
      <w:r>
        <w:rPr/>
        <w:t>1.5.2存储地域</w:t>
      </w:r>
    </w:p>
    <w:p>
      <w:pPr>
        <w:jc w:val="left"/>
      </w:pPr>
      <w:r>
        <w:rPr/>
        <w:t>我们会按照法律法规规定, 将境内收集的个人信息存储于中国境内。</w:t>
      </w:r>
    </w:p>
    <w:p>
      <w:pPr>
        <w:jc w:val="left"/>
      </w:pPr>
    </w:p>
    <w:p>
      <w:pPr>
        <w:jc w:val="left"/>
      </w:pPr>
      <w:r>
        <w:rPr/>
        <w:t>1.6如何保护用户的个人信息安全</w:t>
      </w:r>
    </w:p>
    <w:p>
      <w:pPr>
        <w:jc w:val="left"/>
      </w:pPr>
      <w:r>
        <w:rPr/>
        <w:t>我们已使用符合业界标准的安全防护措施保护终端用户提供的个人信息, 防止数据遭到未经授权访问、公开披露、使用、修改、损毁、泄漏或丢失。</w:t>
      </w:r>
    </w:p>
    <w:p>
      <w:pPr>
        <w:jc w:val="left"/>
      </w:pPr>
    </w:p>
    <w:p>
      <w:pPr>
        <w:jc w:val="left"/>
      </w:pPr>
      <w:r>
        <w:rPr/>
        <w:t>我们采用业界领先的技术保护措施。我们使用的技术手段包括但不限于防火墙、加密(例如SSL)、去标识化或匿名化处理、访问控制措施等。</w:t>
      </w:r>
    </w:p>
    <w:p>
      <w:pPr>
        <w:jc w:val="left"/>
      </w:pPr>
    </w:p>
    <w:p>
      <w:pPr>
        <w:jc w:val="left"/>
      </w:pPr>
      <w:r>
        <w:rPr>
          <w:b/>
          <w:bCs/>
        </w:rPr>
        <w:t>2</w:t>
      </w:r>
      <w:r>
        <w:rPr>
          <w:b/>
          <w:bCs/>
        </w:rPr>
        <w:t>．“电工手册”提供的服务及使用方式</w:t>
      </w:r>
    </w:p>
    <w:p>
      <w:pPr>
        <w:jc w:val="left"/>
      </w:pPr>
      <w:r>
        <w:rPr/>
        <w:t>2.1为保障软件能实现稳定运行之目的，我们可能申请或使用操作系统的相关权限；</w:t>
      </w:r>
    </w:p>
    <w:p>
      <w:pPr>
        <w:jc w:val="left"/>
      </w:pPr>
      <w:r>
        <w:rPr/>
        <w:t>2.2为保障您的知情权，我们通过下列列表将产品可能申请、使用的相关操作系统权限进行展示，您可以根据实际需要对相关权限进行管理；</w:t>
      </w:r>
    </w:p>
    <w:p>
      <w:pPr>
        <w:jc w:val="left"/>
      </w:pPr>
      <w:r>
        <w:rPr/>
        <w:t>2.3请您悉知，为了业务的发展需要，我们可能也会使用第三方SDK，这些第三方SDK可能也会申请或使用操作系统权限；</w:t>
      </w:r>
    </w:p>
    <w:p>
      <w:pPr>
        <w:jc w:val="left"/>
      </w:pPr>
    </w:p>
    <w:p>
      <w:pPr>
        <w:jc w:val="left"/>
      </w:pPr>
      <w:r>
        <w:rPr>
          <w:b/>
          <w:bCs/>
        </w:rPr>
        <w:t>安卓操作系统应用权限列表</w:t>
      </w:r>
    </w:p>
    <w:p>
      <w:pPr>
        <w:jc w:val="left"/>
      </w:pPr>
    </w:p>
    <w:tbl>
      <w:tblPr>
        <w:tblStyle w:val="9"/>
        <w:tblW w:w="11100" w:type="dxa"/>
        <w:tblLayout w:type="fixed"/>
      </w:tblPr>
      <w:tblGrid>
        <w:gridCol w:w="3700"/>
        <w:gridCol w:w="3700"/>
        <w:gridCol w:w="3700"/>
      </w:tblGrid>
      <w:tr>
        <w:tblPrEx/>
        <w:trPr>
          <w:trHeight w:val="503"/>
        </w:trPr>
        <w:tc>
          <w:tcPr>
            <w:tcW w:w="3700" w:type="dxa"/>
            <w:vAlign w:val="top"/>
          </w:tcPr>
          <w:p>
            <w:pPr>
              <w:jc w:val="left"/>
            </w:pPr>
            <w:r>
              <w:rPr>
                <w:b/>
                <w:bCs/>
              </w:rPr>
              <w:t>权限名称</w:t>
            </w:r>
          </w:p>
        </w:tc>
        <w:tc>
          <w:tcPr>
            <w:tcW w:w="3700" w:type="dxa"/>
            <w:vAlign w:val="top"/>
          </w:tcPr>
          <w:p>
            <w:pPr>
              <w:jc w:val="left"/>
            </w:pPr>
            <w:r>
              <w:rPr>
                <w:b/>
                <w:bCs/>
              </w:rPr>
              <w:t>使用目的</w:t>
            </w:r>
          </w:p>
        </w:tc>
        <w:tc>
          <w:tcPr>
            <w:tcW w:w="3700" w:type="dxa"/>
            <w:vAlign w:val="top"/>
          </w:tcPr>
          <w:p>
            <w:pPr>
              <w:jc w:val="left"/>
            </w:pPr>
            <w:r>
              <w:rPr>
                <w:b/>
                <w:bCs/>
              </w:rPr>
              <w:t>备注</w:t>
            </w:r>
          </w:p>
        </w:tc>
      </w:tr>
      <w:tr>
        <w:tblPrEx/>
        <w:trPr>
          <w:trHeight w:val="503"/>
        </w:trPr>
        <w:tc>
          <w:tcPr>
            <w:tcW w:w="3700" w:type="dxa"/>
            <w:vAlign w:val="top"/>
          </w:tcPr>
          <w:p>
            <w:pPr>
              <w:jc w:val="left"/>
            </w:pPr>
            <w:r>
              <w:rPr/>
              <w:t>访问粗略、精确位置</w:t>
            </w:r>
          </w:p>
        </w:tc>
        <w:tc>
          <w:tcPr>
            <w:tcW w:w="3700" w:type="dxa"/>
            <w:vAlign w:val="top"/>
          </w:tcPr>
          <w:p>
            <w:pPr>
              <w:jc w:val="left"/>
            </w:pPr>
            <w:r>
              <w:rPr/>
              <w:t>广告投放</w:t>
            </w:r>
          </w:p>
        </w:tc>
        <w:tc>
          <w:tcPr>
            <w:tcW w:w="3700" w:type="dxa"/>
            <w:vAlign w:val="top"/>
          </w:tcPr>
          <w:p>
            <w:pPr>
              <w:jc w:val="left"/>
            </w:pPr>
            <w:r>
              <w:rPr/>
              <w:t>用户可选是否提供</w:t>
            </w:r>
          </w:p>
        </w:tc>
      </w:tr>
      <w:tr>
        <w:tblPrEx/>
        <w:trPr>
          <w:trHeight w:val="503"/>
        </w:trPr>
        <w:tc>
          <w:tcPr>
            <w:tcW w:w="3700" w:type="dxa"/>
            <w:vAlign w:val="top"/>
          </w:tcPr>
          <w:p>
            <w:pPr>
              <w:jc w:val="left"/>
            </w:pPr>
            <w:r>
              <w:rPr/>
              <w:t>读取外部存储, 写外部存储</w:t>
            </w:r>
          </w:p>
        </w:tc>
        <w:tc>
          <w:tcPr>
            <w:tcW w:w="3700" w:type="dxa"/>
            <w:vAlign w:val="top"/>
          </w:tcPr>
          <w:p>
            <w:pPr>
              <w:jc w:val="left"/>
            </w:pPr>
            <w:r>
              <w:rPr/>
              <w:t>在应用程序查询功能时需将数据库写入设备储存，并在使用时读取</w:t>
            </w:r>
          </w:p>
        </w:tc>
        <w:tc>
          <w:tcPr>
            <w:tcW w:w="3700" w:type="dxa"/>
            <w:vAlign w:val="top"/>
          </w:tcPr>
          <w:p>
            <w:pPr>
              <w:jc w:val="left"/>
            </w:pPr>
            <w:r>
              <w:rPr/>
              <w:t>用户可选是否提供，如用户拒绝，应用程序部分功能无法使用</w:t>
            </w:r>
          </w:p>
        </w:tc>
      </w:tr>
      <w:tr>
        <w:tblPrEx/>
        <w:trPr>
          <w:trHeight w:val="503"/>
        </w:trPr>
        <w:tc>
          <w:tcPr>
            <w:tcW w:w="3700" w:type="dxa"/>
            <w:vAlign w:val="top"/>
          </w:tcPr>
          <w:p>
            <w:pPr>
              <w:jc w:val="left"/>
            </w:pPr>
            <w:r>
              <w:rPr/>
              <w:t>读取设备信息</w:t>
            </w:r>
          </w:p>
        </w:tc>
        <w:tc>
          <w:tcPr>
            <w:tcW w:w="3700" w:type="dxa"/>
            <w:vAlign w:val="top"/>
          </w:tcPr>
          <w:p>
            <w:pPr>
              <w:jc w:val="left"/>
            </w:pPr>
            <w:r>
              <w:rPr/>
              <w:t>用于广告投放、广告归因、广告监测</w:t>
            </w:r>
          </w:p>
        </w:tc>
        <w:tc>
          <w:tcPr>
            <w:tcW w:w="3700" w:type="dxa"/>
            <w:vAlign w:val="top"/>
          </w:tcPr>
          <w:p>
            <w:pPr>
              <w:jc w:val="left"/>
            </w:pPr>
            <w:r>
              <w:rPr/>
              <w:t>用户可选是否提供</w:t>
            </w:r>
          </w:p>
        </w:tc>
      </w:tr>
      <w:tr>
        <w:tblPrEx/>
        <w:trPr>
          <w:trHeight w:val="503"/>
        </w:trPr>
        <w:tc>
          <w:tcPr>
            <w:tcW w:w="3700" w:type="dxa"/>
            <w:vAlign w:val="top"/>
          </w:tcPr>
          <w:p>
            <w:pPr>
              <w:jc w:val="left"/>
            </w:pPr>
            <w:r>
              <w:rPr/>
              <w:t>查看WLAN连接</w:t>
            </w:r>
          </w:p>
        </w:tc>
        <w:tc>
          <w:tcPr>
            <w:tcW w:w="3700" w:type="dxa"/>
            <w:vAlign w:val="top"/>
          </w:tcPr>
          <w:p>
            <w:pPr>
              <w:jc w:val="left"/>
            </w:pPr>
            <w:r>
              <w:rPr/>
              <w:t>保持网络连接稳定性，便于提供统计分析服务</w:t>
            </w:r>
          </w:p>
        </w:tc>
        <w:tc>
          <w:tcPr>
            <w:tcW w:w="3700" w:type="dxa"/>
            <w:vAlign w:val="top"/>
          </w:tcPr>
          <w:p>
            <w:pPr>
              <w:jc w:val="left"/>
            </w:pPr>
            <w:r>
              <w:rPr/>
              <w:t>用户可选是否提供</w:t>
            </w:r>
          </w:p>
        </w:tc>
      </w:tr>
    </w:tbl>
    <w:p>
      <w:pPr>
        <w:jc w:val="left"/>
      </w:pPr>
    </w:p>
    <w:p>
      <w:pPr>
        <w:jc w:val="left"/>
      </w:pPr>
      <w:r>
        <w:rPr/>
        <w:t>为了业务发展需要，我们在软件中嵌入第三方SDK，第三方SDK的信息如下：</w:t>
      </w:r>
    </w:p>
    <w:tbl>
      <w:tblPr>
        <w:tblStyle w:val="9"/>
        <w:tblW w:w="11100" w:type="dxa"/>
        <w:tblLayout w:type="fixed"/>
      </w:tblPr>
      <w:tblGrid>
        <w:gridCol w:w="1850"/>
        <w:gridCol w:w="1850"/>
        <w:gridCol w:w="1850"/>
        <w:gridCol w:w="1850"/>
        <w:gridCol w:w="1850"/>
        <w:gridCol w:w="1850"/>
      </w:tblGrid>
      <w:tr>
        <w:tblPrEx/>
        <w:trPr>
          <w:trHeight w:val="503"/>
        </w:trPr>
        <w:tc>
          <w:tcPr>
            <w:tcW w:w="1850" w:type="dxa"/>
            <w:vAlign w:val="top"/>
          </w:tcPr>
          <w:p>
            <w:pPr>
              <w:jc w:val="left"/>
            </w:pPr>
            <w:r>
              <w:rPr>
                <w:b/>
                <w:bCs/>
              </w:rPr>
              <w:t>第三方SDK名称</w:t>
            </w:r>
          </w:p>
        </w:tc>
        <w:tc>
          <w:tcPr>
            <w:tcW w:w="1850" w:type="dxa"/>
            <w:vAlign w:val="top"/>
          </w:tcPr>
          <w:p>
            <w:pPr>
              <w:jc w:val="left"/>
            </w:pPr>
            <w:r>
              <w:rPr>
                <w:b/>
                <w:bCs/>
              </w:rPr>
              <w:t>第三方SDK提供方的公司名称</w:t>
            </w:r>
          </w:p>
        </w:tc>
        <w:tc>
          <w:tcPr>
            <w:tcW w:w="1850" w:type="dxa"/>
            <w:vAlign w:val="top"/>
          </w:tcPr>
          <w:p>
            <w:pPr>
              <w:jc w:val="left"/>
            </w:pPr>
            <w:r>
              <w:rPr>
                <w:b/>
                <w:bCs/>
              </w:rPr>
              <w:t>处理的个人信息类型</w:t>
            </w:r>
          </w:p>
        </w:tc>
        <w:tc>
          <w:tcPr>
            <w:tcW w:w="1850" w:type="dxa"/>
            <w:vAlign w:val="top"/>
          </w:tcPr>
          <w:p>
            <w:pPr>
              <w:jc w:val="left"/>
            </w:pPr>
            <w:r>
              <w:rPr>
                <w:b/>
                <w:bCs/>
              </w:rPr>
              <w:t>使用目的</w:t>
            </w:r>
          </w:p>
        </w:tc>
        <w:tc>
          <w:tcPr>
            <w:tcW w:w="1850" w:type="dxa"/>
            <w:vAlign w:val="top"/>
          </w:tcPr>
          <w:p>
            <w:pPr>
              <w:jc w:val="left"/>
            </w:pPr>
            <w:r>
              <w:rPr>
                <w:b/>
                <w:bCs/>
              </w:rPr>
              <w:t>使用场景</w:t>
            </w:r>
          </w:p>
        </w:tc>
        <w:tc>
          <w:tcPr>
            <w:tcW w:w="1850" w:type="dxa"/>
            <w:vAlign w:val="top"/>
          </w:tcPr>
          <w:p>
            <w:pPr>
              <w:jc w:val="left"/>
            </w:pPr>
            <w:r>
              <w:rPr>
                <w:b/>
                <w:bCs/>
              </w:rPr>
              <w:t>第三方SDK个人信息保护规则</w:t>
            </w:r>
          </w:p>
        </w:tc>
      </w:tr>
      <w:tr>
        <w:tblPrEx/>
        <w:trPr>
          <w:trHeight w:val="503"/>
        </w:trPr>
        <w:tc>
          <w:tcPr>
            <w:tcW w:w="1850" w:type="dxa"/>
            <w:vAlign w:val="top"/>
          </w:tcPr>
          <w:p>
            <w:pPr>
              <w:jc w:val="left"/>
            </w:pPr>
            <w:r>
              <w:rPr/>
              <w:t>优量汇SDK</w:t>
            </w:r>
          </w:p>
        </w:tc>
        <w:tc>
          <w:tcPr>
            <w:tcW w:w="1850" w:type="dxa"/>
            <w:vAlign w:val="top"/>
          </w:tcPr>
          <w:p>
            <w:pPr>
              <w:jc w:val="left"/>
            </w:pPr>
            <w:r>
              <w:rPr/>
              <w:t>深圳市腾讯计算机系统有限公司 </w:t>
            </w:r>
          </w:p>
        </w:tc>
        <w:tc>
          <w:tcPr>
            <w:tcW w:w="1850" w:type="dxa"/>
            <w:vAlign w:val="top"/>
          </w:tcPr>
          <w:p>
            <w:pPr>
              <w:jc w:val="left"/>
            </w:pPr>
            <w:r>
              <w:rPr/>
              <w:t>设备标识信息（OAID、IMEI、Android ID等）</w:t>
            </w:r>
          </w:p>
        </w:tc>
        <w:tc>
          <w:tcPr>
            <w:tcW w:w="1850" w:type="dxa"/>
            <w:vAlign w:val="top"/>
          </w:tcPr>
          <w:p>
            <w:pPr>
              <w:jc w:val="left"/>
            </w:pPr>
            <w:r>
              <w:rPr/>
              <w:t>广告投放、监测、反作弊等</w:t>
            </w:r>
          </w:p>
        </w:tc>
        <w:tc>
          <w:tcPr>
            <w:tcW w:w="1850" w:type="dxa"/>
            <w:vAlign w:val="top"/>
          </w:tcPr>
          <w:p>
            <w:pPr>
              <w:jc w:val="left"/>
            </w:pPr>
            <w:r>
              <w:rPr/>
              <w:t>广告投放过程中</w:t>
            </w:r>
          </w:p>
        </w:tc>
        <w:tc>
          <w:tcPr>
            <w:tcW w:w="1850" w:type="dxa"/>
            <w:vAlign w:val="top"/>
          </w:tcPr>
          <w:p>
            <w:pPr>
              <w:jc w:val="center"/>
            </w:pPr>
            <w:r>
              <w:rPr/>
              <w:fldChar w:fldCharType="begin"/>
            </w:r>
            <w:r>
              <w:rPr/>
              <w:instrText xml:space="preserve"> HYPERLINK "https://e.qq.com/dev/help_detail.html?cid=2005&amp;pid=5983" </w:instrText>
            </w:r>
            <w:r>
              <w:rPr/>
              <w:fldChar w:fldCharType="separate"/>
            </w:r>
            <w:r>
              <w:rPr>
                <w:rStyle w:val="10"/>
              </w:rPr>
              <w:t>https://e.qq.com/dev/help_detail.html?cid=2005&amp;pid=5983</w:t>
            </w:r>
            <w:r>
              <w:rPr/>
              <w:fldChar w:fldCharType="end"/>
            </w:r>
          </w:p>
        </w:tc>
      </w:tr>
      <w:tr>
        <w:tblPrEx/>
        <w:trPr>
          <w:trHeight w:val="503"/>
        </w:trPr>
        <w:tc>
          <w:tcPr>
            <w:tcW w:w="1850" w:type="dxa"/>
            <w:vAlign w:val="top"/>
          </w:tcPr>
          <w:p>
            <w:pPr>
              <w:jc w:val="left"/>
            </w:pPr>
            <w:r>
              <w:rPr/>
              <w:t>穿山甲广告SDK</w:t>
            </w:r>
          </w:p>
        </w:tc>
        <w:tc>
          <w:tcPr>
            <w:tcW w:w="1850" w:type="dxa"/>
            <w:vAlign w:val="top"/>
          </w:tcPr>
          <w:p>
            <w:pPr>
              <w:jc w:val="left"/>
            </w:pPr>
            <w:r>
              <w:rPr/>
              <w:t>北京巨量引擎网络技术有限公司</w:t>
            </w:r>
          </w:p>
        </w:tc>
        <w:tc>
          <w:tcPr>
            <w:tcW w:w="1850" w:type="dxa"/>
            <w:vAlign w:val="top"/>
          </w:tcPr>
          <w:p>
            <w:pPr>
              <w:jc w:val="left"/>
            </w:pPr>
            <w:r>
              <w:rPr/>
              <w:t>设备品牌、型号、软件系统版本、屏幕密度、屏幕分辨率、设备语言、设备时区、sim卡信息（mcc&amp;mnc）、CPU信息、可用存储空间大小等信息</w:t>
            </w:r>
          </w:p>
        </w:tc>
        <w:tc>
          <w:tcPr>
            <w:tcW w:w="1850" w:type="dxa"/>
            <w:vAlign w:val="top"/>
          </w:tcPr>
          <w:p>
            <w:pPr>
              <w:jc w:val="left"/>
            </w:pPr>
            <w:r>
              <w:rPr/>
              <w:t>为APP提供广告投放及广告监测归因、反作弊和广告投放统计分析等服务</w:t>
            </w:r>
          </w:p>
        </w:tc>
        <w:tc>
          <w:tcPr>
            <w:tcW w:w="1850" w:type="dxa"/>
            <w:vAlign w:val="top"/>
          </w:tcPr>
          <w:p>
            <w:pPr>
              <w:jc w:val="left"/>
            </w:pPr>
            <w:r>
              <w:rPr/>
              <w:t>应用程序使用过程中</w:t>
            </w:r>
          </w:p>
        </w:tc>
        <w:tc>
          <w:tcPr>
            <w:tcW w:w="1850" w:type="dxa"/>
            <w:vAlign w:val="top"/>
          </w:tcPr>
          <w:p>
            <w:pPr>
              <w:jc w:val="center"/>
            </w:pPr>
            <w:r>
              <w:rPr/>
              <w:fldChar w:fldCharType="begin"/>
            </w:r>
            <w:r>
              <w:rPr/>
              <w:instrText xml:space="preserve"> HYPERLINK "https://www.csjplatform.com/privacy/partner" </w:instrText>
            </w:r>
            <w:r>
              <w:rPr/>
              <w:fldChar w:fldCharType="separate"/>
            </w:r>
            <w:r>
              <w:rPr>
                <w:rStyle w:val="10"/>
              </w:rPr>
              <w:t>https://www.csjplatform.com/privacy/partner</w:t>
            </w:r>
            <w:r>
              <w:rPr/>
              <w:fldChar w:fldCharType="end"/>
            </w:r>
          </w:p>
        </w:tc>
      </w:tr>
      <w:tr>
        <w:tblPrEx/>
        <w:trPr>
          <w:trHeight w:val="503"/>
        </w:trPr>
        <w:tc>
          <w:tcPr>
            <w:tcW w:w="1850" w:type="dxa"/>
            <w:vAlign w:val="top"/>
          </w:tcPr>
          <w:p>
            <w:pPr>
              <w:jc w:val="left"/>
            </w:pPr>
            <w:r>
              <w:rPr/>
              <w:t>百度移动统计SDK</w:t>
            </w:r>
          </w:p>
        </w:tc>
        <w:tc>
          <w:tcPr>
            <w:tcW w:w="1850" w:type="dxa"/>
            <w:vAlign w:val="top"/>
          </w:tcPr>
          <w:p>
            <w:pPr>
              <w:jc w:val="left"/>
            </w:pPr>
            <w:r>
              <w:rPr/>
              <w:t>度时代网络技术（北京）有限公司</w:t>
            </w:r>
          </w:p>
        </w:tc>
        <w:tc>
          <w:tcPr>
            <w:tcW w:w="1850" w:type="dxa"/>
            <w:vAlign w:val="top"/>
          </w:tcPr>
          <w:p>
            <w:pPr>
              <w:jc w:val="left"/>
            </w:pPr>
            <w:r>
              <w:rPr/>
              <w:t>可变设备标识符、屏蔽分辨率、应用程序列表、操作系统版本、设备型号</w:t>
            </w:r>
          </w:p>
        </w:tc>
        <w:tc>
          <w:tcPr>
            <w:tcW w:w="1850" w:type="dxa"/>
            <w:vAlign w:val="top"/>
          </w:tcPr>
          <w:p>
            <w:pPr>
              <w:jc w:val="left"/>
            </w:pPr>
            <w:r>
              <w:rPr/>
              <w:t>统计分析，以便优化应用程序功能和体验</w:t>
            </w:r>
          </w:p>
        </w:tc>
        <w:tc>
          <w:tcPr>
            <w:tcW w:w="1850" w:type="dxa"/>
            <w:vAlign w:val="top"/>
          </w:tcPr>
          <w:p>
            <w:pPr>
              <w:jc w:val="left"/>
            </w:pPr>
            <w:r>
              <w:rPr/>
              <w:t>应用程序使用过程中</w:t>
            </w:r>
          </w:p>
        </w:tc>
        <w:tc>
          <w:tcPr>
            <w:tcW w:w="1850" w:type="dxa"/>
            <w:vAlign w:val="top"/>
          </w:tcPr>
          <w:p>
            <w:pPr>
              <w:jc w:val="center"/>
            </w:pPr>
            <w:r>
              <w:rPr/>
              <w:fldChar w:fldCharType="begin"/>
            </w:r>
            <w:r>
              <w:rPr/>
              <w:instrText xml:space="preserve"> HYPERLINK "https://tongji.baidu.com/web/help/article?id=330&amp;type=0%EF%BC%89" </w:instrText>
            </w:r>
            <w:r>
              <w:rPr/>
              <w:fldChar w:fldCharType="separate"/>
            </w:r>
            <w:r>
              <w:rPr>
                <w:rStyle w:val="10"/>
              </w:rPr>
              <w:t>https://tongji.baidu.com/web/help/article?id=330&amp;type=0%EF%BC%89</w:t>
            </w:r>
            <w:r>
              <w:rPr/>
              <w:fldChar w:fldCharType="end"/>
            </w:r>
          </w:p>
        </w:tc>
      </w:tr>
    </w:tbl>
    <w:p>
      <w:pPr>
        <w:jc w:val="left"/>
      </w:pPr>
    </w:p>
    <w:p>
      <w:pPr>
        <w:jc w:val="left"/>
      </w:pPr>
      <w:r>
        <w:rPr>
          <w:b/>
          <w:bCs/>
        </w:rPr>
        <w:t>3.</w:t>
      </w:r>
      <w:r>
        <w:rPr>
          <w:b/>
          <w:bCs/>
        </w:rPr>
        <w:t>关于免责声明</w:t>
      </w:r>
    </w:p>
    <w:p>
      <w:pPr>
        <w:jc w:val="left"/>
      </w:pPr>
      <w:r>
        <w:rPr/>
        <w:t>2.1电工手册根据法律规定或相关政府的要求提供您的个人信息;</w:t>
      </w:r>
    </w:p>
    <w:p>
      <w:pPr>
        <w:jc w:val="left"/>
      </w:pPr>
      <w:r>
        <w:rPr/>
        <w:t>2.2非因电工手册原因导致的个人信息的泄漏；</w:t>
      </w:r>
    </w:p>
    <w:p>
      <w:pPr>
        <w:jc w:val="left"/>
      </w:pPr>
      <w:r>
        <w:rPr/>
        <w:t>2.3任何第三方根据电工手册隐私政策中所列明的情况使用您的个人信息由此所产生的纠纷；</w:t>
      </w:r>
    </w:p>
    <w:p>
      <w:pPr>
        <w:jc w:val="left"/>
      </w:pPr>
      <w:r>
        <w:rPr/>
        <w:t>2.4任何由于黑客攻击、病毒侵入或政府管制而造成的暂时性服务停止；</w:t>
      </w:r>
    </w:p>
    <w:p>
      <w:pPr>
        <w:jc w:val="left"/>
      </w:pPr>
      <w:r>
        <w:rPr/>
        <w:t>2.5因不可抗力导致的任何后果；</w:t>
      </w:r>
    </w:p>
    <w:p>
      <w:pPr>
        <w:jc w:val="left"/>
      </w:pPr>
      <w:r>
        <w:rPr/>
        <w:t>2.6电工手册在隐私政策中列明的免责情形 。</w:t>
      </w:r>
    </w:p>
    <w:p>
      <w:pPr>
        <w:jc w:val="left"/>
      </w:pPr>
      <w:r>
        <w:rPr>
          <w:b/>
          <w:bCs/>
        </w:rPr>
        <w:t>4.</w:t>
      </w:r>
      <w:r>
        <w:rPr>
          <w:b/>
          <w:bCs/>
        </w:rPr>
        <w:t>联系我们</w:t>
      </w:r>
    </w:p>
    <w:p>
      <w:pPr>
        <w:jc w:val="left"/>
      </w:pPr>
      <w:r>
        <w:rPr/>
        <w:t>河北睿凡信息科技有限公司注册，我们严格保护您的个人信息的安全，使用各种安全技术和程序来保护您的个人信息不被未经授权的访问、使用或泄漏。我们设立了专门的个人信息保护团队和个人信息保护负责人,如果您对我们的隐私保护政策有任何投诉、建议、置疑，请通过281982022@qq</w:t>
      </w:r>
      <w:r>
        <w:rPr/>
        <w:t>.com</w:t>
      </w:r>
      <w:r>
        <w:rPr/>
        <w:t>与我们联系，我们在核实后及时向您反馈您的投诉与举报。</w:t>
      </w:r>
    </w:p>
    <w:p>
      <w:pPr>
        <w:jc w:val="left"/>
      </w:pPr>
    </w:p>
    <w:p>
      <w:pPr>
        <w:jc w:val="right"/>
      </w:pPr>
    </w:p>
    <w:p>
      <w:pPr>
        <w:jc w:val="right"/>
      </w:pPr>
    </w:p>
    <w:sectPr>
      <w:pgSz w:w="11906" w:h="16838" w:orient="portrait"/>
      <w:pgMar w:top="1440" w:right="1803" w:bottom="1440" w:left="1803" w:header="13" w:footer="13" w:gutter="0"/>
      <w:cols w:space="0" w:num="1"/>
      <w:docGrid w:type="lines" w:linePitch="2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微软雅黑">
    <w:panose1 w:val="020B0503020204020204"/>
    <w:charset w:val="86"/>
    <w:family w:val="auto"/>
    <w:pitch w:val="default"/>
    <w:sig w:usb0="80000287" w:usb1="2ACF3C50" w:usb2="00000016" w:usb3="00000000" w:csb0="0004001F"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numbering.xml><?xml version="1.0" encoding="utf-8"?>
<w:numbering xmlns:r="http://schemas.openxmlformats.org/officeDocument/2006/relationships" xmlns:w="http://schemas.openxmlformats.org/wordprocessingml/2006/main">
  <w:abstractNum w:abstractNumId="1">
    <w:nsid w:val="20000001"/>
    <w:multiLevelType w:val="singleLevel"/>
    <w:tmpl w:val="20000001"/>
    <w:lvl w:ilvl="0" w:tentative="0">
      <w:start w:val="1"/>
      <w:numFmt w:val="decimal"/>
      <w:pStyle w:val="14"/>
      <w:suff w:val="space"/>
      <w:lvlText w:val="%1 "/>
      <w:lvlJc w:val="right"/>
      <w:pPr/>
      <w:rPr>
        <w:rFonts w:ascii="微软雅黑" w:hAnsi="微软雅黑" w:eastAsia="微软雅黑" w:cs="微软雅黑"/>
        <w:color w:val="C0C6CF"/>
        <w:sz w:val="16"/>
      </w:rPr>
    </w:lvl>
  </w:abstractNum>
  <w:abstractNum w:abstractNumId="2">
    <w:nsid w:val="20000002"/>
    <w:multiLevelType w:val="multilevel"/>
    <w:tmpl w:val="20000002"/>
    <w:lvl w:ilvl="0" w:tentative="0">
      <w:start w:val="1"/>
      <w:numFmt w:val="bullet"/>
      <w:lvlText w:val=""/>
      <w:pPr>
        <w:ind w:left="420" w:hanging="420"/>
      </w:pPr>
      <w:rPr>
        <w:rFonts w:ascii="Wingdings" w:hAnsi="Wingdings" w:eastAsia="Wingdings" w:cs="Wingdings"/>
      </w:rPr>
    </w:lvl>
    <w:lvl w:ilvl="1" w:tentative="0">
      <w:start w:val="1"/>
      <w:numFmt w:val="bullet"/>
      <w:lvlText w:val="¢"/>
      <w:pPr>
        <w:ind w:left="840" w:hanging="420"/>
      </w:pPr>
      <w:rPr>
        <w:rFonts w:ascii="Wingdings" w:hAnsi="Wingdings" w:eastAsia="Wingdings" w:cs="Wingdings"/>
      </w:rPr>
    </w:lvl>
    <w:lvl w:ilvl="2" w:tentative="0">
      <w:start w:val="1"/>
      <w:numFmt w:val="bullet"/>
      <w:lvlText w:val=""/>
      <w:pPr>
        <w:ind w:left="1260" w:hanging="420"/>
      </w:pPr>
      <w:rPr>
        <w:rFonts w:ascii="Wingdings" w:hAnsi="Wingdings" w:eastAsia="Wingdings" w:cs="Wingdings"/>
      </w:rPr>
    </w:lvl>
    <w:lvl w:ilvl="3" w:tentative="0">
      <w:start w:val="1"/>
      <w:numFmt w:val="bullet"/>
      <w:lvlText w:val=""/>
      <w:pPr>
        <w:ind w:left="1680" w:hanging="420"/>
      </w:pPr>
      <w:rPr>
        <w:rFonts w:ascii="Wingdings" w:hAnsi="Wingdings" w:eastAsia="Wingdings" w:cs="Wingdings"/>
      </w:rPr>
    </w:lvl>
    <w:lvl w:ilvl="4" w:tentative="0">
      <w:start w:val="1"/>
      <w:numFmt w:val="bullet"/>
      <w:lvlText w:val="¢"/>
      <w:pPr>
        <w:ind w:left="2100" w:hanging="420"/>
      </w:pPr>
      <w:rPr>
        <w:rFonts w:ascii="Wingdings" w:hAnsi="Wingdings" w:eastAsia="Wingdings" w:cs="Wingdings"/>
      </w:rPr>
    </w:lvl>
    <w:lvl w:ilvl="5" w:tentative="0">
      <w:start w:val="1"/>
      <w:numFmt w:val="bullet"/>
      <w:lvlText w:val=""/>
      <w:pPr>
        <w:ind w:left="2520" w:hanging="420"/>
      </w:pPr>
      <w:rPr>
        <w:rFonts w:ascii="Wingdings" w:hAnsi="Wingdings" w:eastAsia="Wingdings" w:cs="Wingdings"/>
      </w:rPr>
    </w:lvl>
    <w:lvl w:ilvl="6" w:tentative="0">
      <w:start w:val="1"/>
      <w:numFmt w:val="bullet"/>
      <w:lvlText w:val=""/>
      <w:pPr>
        <w:ind w:left="2940" w:hanging="420"/>
      </w:pPr>
      <w:rPr>
        <w:rFonts w:ascii="Wingdings" w:hAnsi="Wingdings" w:eastAsia="Wingdings" w:cs="Wingdings"/>
      </w:rPr>
    </w:lvl>
    <w:lvl w:ilvl="7" w:tentative="0">
      <w:start w:val="1"/>
      <w:numFmt w:val="bullet"/>
      <w:lvlText w:val="¢"/>
      <w:pPr>
        <w:ind w:left="3360" w:hanging="420"/>
      </w:pPr>
      <w:rPr>
        <w:rFonts w:ascii="Wingdings" w:hAnsi="Wingdings" w:eastAsia="Wingdings" w:cs="Wingding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efaultTabStop w:val="42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1">
    <w:name w:val="Normal"/>
    <w:uiPriority w:val="0"/>
    <w:qFormat/>
    <w:pPr>
      <w:textAlignment w:val="baseline"/>
    </w:pPr>
    <w:rPr>
      <w:rFonts w:ascii="微软雅黑" w:hAnsi="微软雅黑" w:eastAsia="微软雅黑" w:cs="微软雅黑"/>
      <w:color w:val="080f17"/>
      <w:sz w:val="22"/>
    </w:rPr>
  </w:style>
  <w:style w:type="paragraph" w:styleId="2">
    <w:name w:val="MainTitle"/>
    <w:basedOn w:val="1"/>
    <w:uiPriority w:val="0"/>
    <w:qFormat/>
    <w:pPr>
      <w:pBdr>
        <w:bottom w:val="single" w:color="e2e6ed" w:sz="6" w:space="5"/>
      </w:pBdr>
      <w:spacing w:before="180" w:after="480" w:line="780" w:lineRule="exact"/>
    </w:pPr>
    <w:rPr>
      <w:b/>
      <w:sz w:val="44"/>
    </w:rPr>
  </w:style>
  <w:style w:type="paragraph" w:styleId="3">
    <w:name w:val="heading 1"/>
    <w:basedOn w:val="1"/>
    <w:uiPriority w:val="0"/>
    <w:qFormat/>
    <w:pPr>
      <w:spacing w:before="390" w:after="120" w:line="634" w:lineRule="exact"/>
      <w:outlineLvl w:val="0"/>
    </w:pPr>
    <w:rPr>
      <w:b/>
      <w:sz w:val="38"/>
    </w:rPr>
  </w:style>
  <w:style w:type="paragraph" w:styleId="4">
    <w:name w:val="heading 2"/>
    <w:basedOn w:val="1"/>
    <w:uiPriority w:val="0"/>
    <w:qFormat/>
    <w:pPr>
      <w:spacing w:before="330" w:after="120" w:line="536" w:lineRule="exact"/>
      <w:outlineLvl w:val="1"/>
    </w:pPr>
    <w:rPr>
      <w:b/>
      <w:sz w:val="32"/>
    </w:rPr>
  </w:style>
  <w:style w:type="paragraph" w:styleId="5">
    <w:name w:val="heading 3"/>
    <w:basedOn w:val="1"/>
    <w:uiPriority w:val="0"/>
    <w:qFormat/>
    <w:pPr>
      <w:spacing w:before="300" w:after="120" w:line="488" w:lineRule="exact"/>
      <w:outlineLvl w:val="2"/>
    </w:pPr>
    <w:rPr>
      <w:b/>
      <w:sz w:val="30"/>
    </w:rPr>
  </w:style>
  <w:style w:type="paragraph" w:styleId="6">
    <w:name w:val="heading 4"/>
    <w:basedOn w:val="1"/>
    <w:uiPriority w:val="0"/>
    <w:qFormat/>
    <w:pPr>
      <w:spacing w:before="270" w:after="120" w:line="439" w:lineRule="exact"/>
      <w:outlineLvl w:val="3"/>
    </w:pPr>
    <w:rPr>
      <w:b/>
      <w:sz w:val="26"/>
    </w:rPr>
  </w:style>
  <w:style w:type="paragraph" w:styleId="7">
    <w:name w:val="heading 5"/>
    <w:basedOn w:val="1"/>
    <w:uiPriority w:val="0"/>
    <w:qFormat/>
    <w:pPr>
      <w:spacing w:before="240" w:after="120" w:line="390" w:lineRule="exact"/>
      <w:outlineLvl w:val="4"/>
    </w:pPr>
    <w:rPr>
      <w:b/>
      <w:sz w:val="22"/>
    </w:rPr>
  </w:style>
  <w:style w:type="paragraph" w:styleId="8">
    <w:name w:val="heading 6"/>
    <w:basedOn w:val="1"/>
    <w:uiPriority w:val="0"/>
    <w:qFormat/>
    <w:pPr>
      <w:spacing w:before="240" w:after="120" w:line="390" w:lineRule="exact"/>
      <w:outlineLvl w:val="5"/>
    </w:pPr>
    <w:rPr>
      <w:b/>
      <w:sz w:val="22"/>
    </w:rPr>
  </w:style>
  <w:style w:type="table" w:styleId="9">
    <w:name w:val="Table Grid"/>
    <w:basedOn w:val="1"/>
    <w:uiPriority w:val="0"/>
    <w:qFormat/>
    <w:rPr/>
    <w:tblPr>
      <w:tblInd w:w="120" w:type="dxa"/>
      <w:tblBorders>
        <w:top w:val="single" w:color="080f17" w:sz="6" w:space="0"/>
        <w:left w:val="single" w:color="080f17" w:sz="6" w:space="0"/>
        <w:bottom w:val="single" w:color="080f17" w:sz="6" w:space="0"/>
        <w:right w:val="single" w:color="080f17" w:sz="6" w:space="0"/>
        <w:insideH w:val="single" w:color="080f17" w:sz="6" w:space="0"/>
        <w:insideV w:val="single" w:color="080f17" w:sz="6" w:space="0"/>
      </w:tblBorders>
      <w:tblCellMar>
        <w:left w:w="108" w:type="dxa"/>
        <w:right w:w="108" w:type="dxa"/>
      </w:tblCellMar>
    </w:tblPr>
  </w:style>
  <w:style w:type="character" w:styleId="10">
    <w:name w:val="Hyperlink"/>
    <w:uiPriority w:val="0"/>
    <w:qFormat/>
    <w:rPr>
      <w:color w:val="0A6CFF"/>
      <w:u w:val="single" w:color="0A6CFF"/>
    </w:rPr>
  </w:style>
  <w:style w:type="character" w:styleId="11">
    <w:name w:val="DateTime"/>
    <w:uiPriority w:val="0"/>
    <w:qFormat/>
    <w:rPr>
      <w:color w:val="0A6CFF"/>
    </w:rPr>
  </w:style>
  <w:style w:type="paragraph" w:styleId="12">
    <w:name w:val="Blockquote"/>
    <w:basedOn w:val="1"/>
    <w:uiPriority w:val="0"/>
    <w:qFormat/>
    <w:pPr>
      <w:pBdr>
        <w:left w:val="single" w:color="e2e6ed" w:sz="36" w:space="12"/>
      </w:pBdr>
      <w:ind w:left="330" w:firstLine="0"/>
    </w:pPr>
    <w:rPr>
      <w:color w:val="767c85"/>
      <w:sz w:val="22"/>
    </w:rPr>
  </w:style>
  <w:style w:type="character" w:styleId="13">
    <w:name w:val="Code"/>
    <w:uiPriority w:val="0"/>
    <w:qFormat/>
    <w:rPr>
      <w:bdr w:val="single" w:color="e2e6ed" w:sz="6"/>
    </w:rPr>
  </w:style>
  <w:style w:type="paragraph" w:styleId="14">
    <w:name w:val="CodeBlock"/>
    <w:basedOn w:val="1"/>
    <w:uiPriority w:val="0"/>
    <w:qFormat/>
    <w:pPr>
      <w:numPr>
        <w:ilvl w:val="0"/>
        <w:numId w:val="1"/>
      </w:numPr>
      <w:pBdr>
        <w:top w:val="single" w:color="e2e6ed" w:sz="6" w:space="8"/>
        <w:left w:val="single" w:color="e2e6ed" w:sz="6" w:space="26"/>
        <w:bottom w:val="single" w:color="e2e6ed" w:sz="6" w:space="8"/>
        <w:right w:val="single" w:color="e2e6ed" w:sz="6" w:space="0"/>
      </w:pBdr>
      <w:shd w:val="clear" w:color="ffffff" w:fill="f5f7f9"/>
      <w:spacing w:before="0" w:after="0" w:line="300" w:lineRule="exact"/>
      <w:ind w:left="540" w:firstLine="0"/>
    </w:pPr>
    <w:rPr>
      <w:sz w:val="18"/>
    </w:rPr>
  </w:style>
  <w:style w:type="table" w:styleId="15">
    <w:name w:val="HighlightBlock"/>
    <w:basedOn w:val="1"/>
    <w:uiPriority w:val="0"/>
    <w:qFormat/>
    <w:rPr/>
    <w:tblPr>
      <w:tblInd w:w="120" w:type="dxa"/>
      <w:tblBorders>
        <w:top w:val="single" w:color="FEC794" w:sz="6" w:space="0"/>
        <w:left w:val="single" w:color="FEC794" w:sz="6" w:space="0"/>
        <w:bottom w:val="single" w:color="FEC794" w:sz="6" w:space="0"/>
        <w:right w:val="single" w:color="FEC794" w:sz="6" w:space="0"/>
        <w:insideH w:val="single" w:color="FEC794" w:sz="6" w:space="0"/>
        <w:insideV w:val="single" w:color="FEC794" w:sz="6" w:space="0"/>
      </w:tblBorders>
      <w:shd w:val="clear" w:color="ffffff" w:fill="FAF1E6"/>
      <w:tblCellMar>
        <w:left w:w="108" w:type="dxa"/>
        <w:right w:w="108" w:type="dxa"/>
      </w:tblCellMar>
    </w:tblPr>
  </w:style>
  <w:style w:type="paragraph" w:styleId="16">
    <w:name w:val="Seperate"/>
    <w:basedOn w:val="1"/>
    <w:uiPriority w:val="0"/>
    <w:qFormat/>
    <w:pPr>
      <w:spacing w:before="0" w:after="0" w:line="120" w:lineRule="exact"/>
    </w:pPr>
    <w:rPr/>
  </w:style>
</w:styles>
</file>

<file path=word/_rels/document.xml.rels><?xml version="1.0" encoding="UTF-8" standalone="yes"?><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app.xml><?xml version="1.0" encoding="utf-8"?>
<Properties xmlns="http://schemas.openxmlformats.org/officeDocument/2006/extended-properties" xmlns:vt="http://schemas.openxmlformats.org/officeDocument/2006/docPropsVTypes">
  <Template>Normal.dotm</Template>
  <TotalTime>1</TotalTime>
  <LinksUpToDate>false</LinksUpToDate>
  <Application>WPS Office</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webotl</dc:creator>
  <cp:lastModifiedBy>webotl</cp:lastModifiedBy>
  <dcterms:created xsi:type="dcterms:W3CDTF">2024-07-22T03:23:05Z</dcterms:created>
  <dcterms:modified xsi:type="dcterms:W3CDTF">2024-07-22T03:23:05Z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webotl</vt:lpwstr>
  </property>
</Properties>
</file>